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9180"/>
      </w:tblGrid>
      <w:tr w:rsidR="00B74281" w14:paraId="314E1FB7" w14:textId="77777777" w:rsidTr="00B74281">
        <w:trPr>
          <w:trHeight w:val="567"/>
        </w:trPr>
        <w:tc>
          <w:tcPr>
            <w:tcW w:w="9923" w:type="dxa"/>
            <w:gridSpan w:val="2"/>
            <w:tcBorders>
              <w:top w:val="nil"/>
              <w:left w:val="nil"/>
              <w:bottom w:val="single" w:sz="4" w:space="0" w:color="auto"/>
              <w:right w:val="nil"/>
            </w:tcBorders>
            <w:vAlign w:val="center"/>
          </w:tcPr>
          <w:p w14:paraId="4E8E223D" w14:textId="77777777" w:rsidR="00B74281" w:rsidRDefault="00B74281" w:rsidP="007F2A74">
            <w:pPr>
              <w:spacing w:line="480" w:lineRule="exact"/>
              <w:jc w:val="center"/>
              <w:rPr>
                <w:rFonts w:ascii="方正小标宋_GBK" w:eastAsia="方正小标宋_GBK"/>
                <w:sz w:val="40"/>
                <w:szCs w:val="40"/>
              </w:rPr>
            </w:pPr>
            <w:bookmarkStart w:id="0" w:name="OLE_LINK2"/>
            <w:bookmarkStart w:id="1" w:name="OLE_LINK1"/>
            <w:r>
              <w:rPr>
                <w:rFonts w:ascii="方正小标宋_GBK" w:eastAsia="方正小标宋_GBK" w:hint="eastAsia"/>
                <w:sz w:val="40"/>
                <w:szCs w:val="40"/>
              </w:rPr>
              <w:t>南通市居民区人防工程电动汽车自用充电设施</w:t>
            </w:r>
          </w:p>
          <w:p w14:paraId="3DC45DC5" w14:textId="1F2CB954" w:rsidR="00B74281" w:rsidRDefault="00B74281" w:rsidP="00B74281">
            <w:pPr>
              <w:wordWrap w:val="0"/>
              <w:spacing w:line="480" w:lineRule="exact"/>
              <w:jc w:val="right"/>
              <w:rPr>
                <w:rFonts w:ascii="方正小标宋_GBK" w:eastAsia="方正小标宋_GBK"/>
                <w:sz w:val="32"/>
                <w:szCs w:val="32"/>
              </w:rPr>
            </w:pPr>
            <w:r>
              <w:rPr>
                <w:rFonts w:ascii="方正小标宋_GBK" w:eastAsia="方正小标宋_GBK" w:hint="eastAsia"/>
                <w:sz w:val="40"/>
                <w:szCs w:val="40"/>
              </w:rPr>
              <w:t>建设安装承诺表</w:t>
            </w:r>
            <w:bookmarkEnd w:id="0"/>
            <w:bookmarkEnd w:id="1"/>
            <w:r>
              <w:rPr>
                <w:rFonts w:ascii="方正小标宋_GBK" w:eastAsia="方正小标宋_GBK" w:hint="eastAsia"/>
                <w:sz w:val="40"/>
                <w:szCs w:val="40"/>
              </w:rPr>
              <w:t xml:space="preserve">           </w:t>
            </w:r>
            <w:r>
              <w:rPr>
                <w:rFonts w:ascii="方正小标宋_GBK" w:eastAsia="方正小标宋_GBK" w:hint="eastAsia"/>
                <w:sz w:val="20"/>
                <w:szCs w:val="20"/>
              </w:rPr>
              <w:t>编号：</w:t>
            </w:r>
            <w:r>
              <w:rPr>
                <w:rFonts w:ascii="方正小标宋_GBK" w:eastAsia="方正小标宋_GBK"/>
                <w:sz w:val="20"/>
                <w:szCs w:val="20"/>
              </w:rPr>
              <w:t xml:space="preserve">         </w:t>
            </w:r>
          </w:p>
        </w:tc>
      </w:tr>
      <w:tr w:rsidR="00B74281" w14:paraId="78BD6C23" w14:textId="77777777" w:rsidTr="00B74281">
        <w:trPr>
          <w:trHeight w:val="3564"/>
        </w:trPr>
        <w:tc>
          <w:tcPr>
            <w:tcW w:w="9923" w:type="dxa"/>
            <w:gridSpan w:val="2"/>
            <w:tcBorders>
              <w:top w:val="single" w:sz="4" w:space="0" w:color="auto"/>
            </w:tcBorders>
            <w:vAlign w:val="center"/>
          </w:tcPr>
          <w:p w14:paraId="1D237E75" w14:textId="2D66B6B7" w:rsidR="00B74281" w:rsidRDefault="00B74281" w:rsidP="007F2A74">
            <w:pPr>
              <w:ind w:firstLineChars="200" w:firstLine="480"/>
              <w:rPr>
                <w:rFonts w:eastAsia="仿宋"/>
                <w:sz w:val="24"/>
              </w:rPr>
            </w:pPr>
            <w:r>
              <w:rPr>
                <w:rFonts w:eastAsia="仿宋" w:hint="eastAsia"/>
                <w:sz w:val="24"/>
              </w:rPr>
              <w:t>本单位已依法办理</w:t>
            </w:r>
            <w:r w:rsidR="00AD370F">
              <w:rPr>
                <w:rFonts w:eastAsia="仿宋" w:hint="eastAsia"/>
                <w:sz w:val="24"/>
                <w:u w:val="single"/>
              </w:rPr>
              <w:t xml:space="preserve">           </w:t>
            </w:r>
            <w:r w:rsidR="00AD370F">
              <w:rPr>
                <w:rFonts w:eastAsia="仿宋"/>
                <w:sz w:val="24"/>
                <w:u w:val="single"/>
              </w:rPr>
              <w:t xml:space="preserve">     </w:t>
            </w:r>
            <w:r>
              <w:rPr>
                <w:rFonts w:eastAsia="仿宋"/>
                <w:sz w:val="24"/>
              </w:rPr>
              <w:t>小区</w:t>
            </w:r>
            <w:r>
              <w:rPr>
                <w:rFonts w:eastAsia="仿宋" w:hint="eastAsia"/>
                <w:sz w:val="24"/>
              </w:rPr>
              <w:t>人防工程平时使用手续或签订人防工程使用管理承诺书，是该小区人防工程的使用管理单位。</w:t>
            </w:r>
            <w:r>
              <w:rPr>
                <w:rFonts w:eastAsia="仿宋"/>
                <w:sz w:val="24"/>
              </w:rPr>
              <w:t>现</w:t>
            </w:r>
            <w:r>
              <w:rPr>
                <w:rFonts w:eastAsia="仿宋" w:hint="eastAsia"/>
                <w:sz w:val="24"/>
              </w:rPr>
              <w:t>有</w:t>
            </w:r>
            <w:r>
              <w:rPr>
                <w:rFonts w:eastAsia="仿宋" w:hint="eastAsia"/>
                <w:sz w:val="24"/>
                <w:u w:val="single"/>
              </w:rPr>
              <w:t xml:space="preserve">              </w:t>
            </w:r>
            <w:r>
              <w:rPr>
                <w:rFonts w:eastAsia="仿宋" w:hint="eastAsia"/>
                <w:sz w:val="24"/>
              </w:rPr>
              <w:t>（租赁人姓名）租赁的</w:t>
            </w:r>
            <w:r>
              <w:rPr>
                <w:rFonts w:eastAsia="仿宋"/>
                <w:sz w:val="24"/>
              </w:rPr>
              <w:t>___________</w:t>
            </w:r>
            <w:r>
              <w:rPr>
                <w:rFonts w:eastAsia="仿宋" w:hint="eastAsia"/>
                <w:sz w:val="24"/>
              </w:rPr>
              <w:t>（车位号）人防车位向供电部门</w:t>
            </w:r>
            <w:r>
              <w:rPr>
                <w:rFonts w:eastAsia="仿宋"/>
                <w:sz w:val="24"/>
              </w:rPr>
              <w:t>申请建设安装</w:t>
            </w:r>
            <w:r>
              <w:rPr>
                <w:rFonts w:eastAsia="仿宋" w:hint="eastAsia"/>
                <w:kern w:val="0"/>
                <w:sz w:val="24"/>
              </w:rPr>
              <w:t>自用充电设施</w:t>
            </w:r>
            <w:r>
              <w:rPr>
                <w:rFonts w:eastAsia="仿宋"/>
                <w:sz w:val="24"/>
              </w:rPr>
              <w:t>，并开展因</w:t>
            </w:r>
            <w:r>
              <w:rPr>
                <w:rFonts w:eastAsia="仿宋" w:hint="eastAsia"/>
                <w:sz w:val="24"/>
              </w:rPr>
              <w:t>自用充电设施</w:t>
            </w:r>
            <w:r>
              <w:rPr>
                <w:rFonts w:eastAsia="仿宋"/>
                <w:sz w:val="24"/>
              </w:rPr>
              <w:t>建设安装而引起的电源接入、电缆敷设开挖、专用表箱安装等工程施工。</w:t>
            </w:r>
            <w:r>
              <w:rPr>
                <w:rFonts w:eastAsia="仿宋" w:hint="eastAsia"/>
                <w:sz w:val="24"/>
              </w:rPr>
              <w:t>本单位承诺将切实履行安全管理责任，做好该人防工程内的人防、消防、电力等设施设备的维护保养工作，确保人防战时功能完好，消防、电力设施设备运转正常，同时加强日常巡查，及时消除安全隐患，对自用充电设施使用人履行日常监督管理责任，负责协调因自用充电设施安装和使用而引起的相关纠纷和矛盾。</w:t>
            </w:r>
          </w:p>
          <w:p w14:paraId="75B71336" w14:textId="77777777" w:rsidR="00B74281" w:rsidRDefault="00B74281" w:rsidP="007F2A74">
            <w:pPr>
              <w:rPr>
                <w:rFonts w:eastAsia="仿宋"/>
                <w:sz w:val="24"/>
              </w:rPr>
            </w:pPr>
          </w:p>
          <w:p w14:paraId="0B68EE1D" w14:textId="77777777" w:rsidR="00B74281" w:rsidRDefault="00B74281" w:rsidP="007F2A74">
            <w:pPr>
              <w:rPr>
                <w:rFonts w:eastAsia="仿宋"/>
                <w:sz w:val="24"/>
              </w:rPr>
            </w:pPr>
            <w:r>
              <w:rPr>
                <w:rFonts w:eastAsia="仿宋" w:hint="eastAsia"/>
                <w:sz w:val="24"/>
              </w:rPr>
              <w:t>使用管理单位全称：</w:t>
            </w:r>
            <w:r>
              <w:rPr>
                <w:rFonts w:eastAsia="仿宋" w:hint="eastAsia"/>
                <w:sz w:val="24"/>
              </w:rPr>
              <w:t xml:space="preserve">                          </w:t>
            </w:r>
            <w:r>
              <w:rPr>
                <w:rFonts w:eastAsia="仿宋" w:hint="eastAsia"/>
                <w:sz w:val="24"/>
              </w:rPr>
              <w:t>使用管理单位联系人：</w:t>
            </w:r>
          </w:p>
          <w:p w14:paraId="53838CCD" w14:textId="77777777" w:rsidR="00B74281" w:rsidRDefault="00B74281" w:rsidP="007F2A74">
            <w:pPr>
              <w:rPr>
                <w:rFonts w:eastAsia="仿宋_GB2312"/>
                <w:sz w:val="32"/>
              </w:rPr>
            </w:pPr>
            <w:r>
              <w:rPr>
                <w:rFonts w:eastAsia="仿宋" w:hint="eastAsia"/>
                <w:sz w:val="24"/>
              </w:rPr>
              <w:t>使用管理单位联系人手机号：</w:t>
            </w:r>
          </w:p>
        </w:tc>
      </w:tr>
      <w:tr w:rsidR="00B74281" w14:paraId="5CB73AEE" w14:textId="77777777" w:rsidTr="00B74281">
        <w:trPr>
          <w:trHeight w:val="476"/>
        </w:trPr>
        <w:tc>
          <w:tcPr>
            <w:tcW w:w="9923" w:type="dxa"/>
            <w:gridSpan w:val="2"/>
            <w:tcBorders>
              <w:top w:val="single" w:sz="4" w:space="0" w:color="auto"/>
              <w:bottom w:val="single" w:sz="4" w:space="0" w:color="auto"/>
            </w:tcBorders>
            <w:vAlign w:val="center"/>
          </w:tcPr>
          <w:p w14:paraId="15EA687D" w14:textId="77777777" w:rsidR="00B74281" w:rsidRDefault="00B74281" w:rsidP="007F2A74">
            <w:pPr>
              <w:rPr>
                <w:rFonts w:ascii="方正仿宋_GBK" w:eastAsia="方正仿宋_GBK" w:hAnsi="方正仿宋_GBK" w:cs="方正仿宋_GBK"/>
                <w:sz w:val="24"/>
              </w:rPr>
            </w:pPr>
            <w:r>
              <w:rPr>
                <w:rFonts w:ascii="方正小标宋_GBK" w:eastAsia="方正小标宋_GBK" w:hAnsi="方正小标宋_GBK" w:cs="方正小标宋_GBK" w:hint="eastAsia"/>
                <w:sz w:val="24"/>
              </w:rPr>
              <w:t>人防车位充电区域合</w:t>
            </w:r>
            <w:proofErr w:type="gramStart"/>
            <w:r>
              <w:rPr>
                <w:rFonts w:ascii="方正小标宋_GBK" w:eastAsia="方正小标宋_GBK" w:hAnsi="方正小标宋_GBK" w:cs="方正小标宋_GBK" w:hint="eastAsia"/>
                <w:sz w:val="24"/>
              </w:rPr>
              <w:t>规</w:t>
            </w:r>
            <w:proofErr w:type="gramEnd"/>
            <w:r>
              <w:rPr>
                <w:rFonts w:ascii="方正小标宋_GBK" w:eastAsia="方正小标宋_GBK" w:hAnsi="方正小标宋_GBK" w:cs="方正小标宋_GBK" w:hint="eastAsia"/>
                <w:sz w:val="24"/>
              </w:rPr>
              <w:t>性自查承诺（明确承诺以下内容全部符合要求）：</w:t>
            </w:r>
          </w:p>
        </w:tc>
      </w:tr>
      <w:tr w:rsidR="00B74281" w14:paraId="04CDC0D3" w14:textId="77777777" w:rsidTr="00B74281">
        <w:trPr>
          <w:trHeight w:val="508"/>
        </w:trPr>
        <w:tc>
          <w:tcPr>
            <w:tcW w:w="743" w:type="dxa"/>
            <w:tcBorders>
              <w:top w:val="single" w:sz="4" w:space="0" w:color="auto"/>
              <w:bottom w:val="single" w:sz="4" w:space="0" w:color="auto"/>
            </w:tcBorders>
            <w:vAlign w:val="center"/>
          </w:tcPr>
          <w:p w14:paraId="7C5CAD26" w14:textId="77777777" w:rsidR="00B74281" w:rsidRDefault="00B74281" w:rsidP="007F2A74">
            <w:pPr>
              <w:jc w:val="center"/>
              <w:rPr>
                <w:rFonts w:eastAsia="仿宋"/>
                <w:sz w:val="24"/>
              </w:rPr>
            </w:pPr>
            <w:r>
              <w:rPr>
                <w:rFonts w:eastAsia="仿宋" w:hint="eastAsia"/>
                <w:sz w:val="24"/>
              </w:rPr>
              <w:t>人防</w:t>
            </w:r>
          </w:p>
        </w:tc>
        <w:tc>
          <w:tcPr>
            <w:tcW w:w="9180" w:type="dxa"/>
            <w:tcBorders>
              <w:top w:val="single" w:sz="4" w:space="0" w:color="auto"/>
              <w:bottom w:val="single" w:sz="4" w:space="0" w:color="auto"/>
            </w:tcBorders>
            <w:vAlign w:val="center"/>
          </w:tcPr>
          <w:p w14:paraId="0A6B9234" w14:textId="77777777" w:rsidR="00B74281" w:rsidRDefault="00B74281" w:rsidP="007F2A74">
            <w:pPr>
              <w:rPr>
                <w:rFonts w:eastAsia="仿宋"/>
                <w:sz w:val="22"/>
                <w:szCs w:val="22"/>
              </w:rPr>
            </w:pPr>
            <w:r>
              <w:rPr>
                <w:rFonts w:eastAsia="仿宋" w:hint="eastAsia"/>
                <w:sz w:val="22"/>
                <w:szCs w:val="22"/>
              </w:rPr>
              <w:t>1</w:t>
            </w:r>
            <w:r>
              <w:rPr>
                <w:rFonts w:eastAsia="仿宋" w:hint="eastAsia"/>
                <w:sz w:val="22"/>
                <w:szCs w:val="22"/>
              </w:rPr>
              <w:t>、自用充电设施安装和使用不破坏既有人防工程防护效能和防护设施。</w:t>
            </w:r>
          </w:p>
          <w:p w14:paraId="5BD4910F" w14:textId="77777777" w:rsidR="00B74281" w:rsidRDefault="00B74281" w:rsidP="007F2A74">
            <w:pPr>
              <w:rPr>
                <w:rFonts w:eastAsia="仿宋"/>
                <w:sz w:val="22"/>
                <w:szCs w:val="22"/>
              </w:rPr>
            </w:pPr>
            <w:r>
              <w:rPr>
                <w:rFonts w:eastAsia="仿宋" w:hint="eastAsia"/>
                <w:sz w:val="22"/>
                <w:szCs w:val="22"/>
              </w:rPr>
              <w:t>2</w:t>
            </w:r>
            <w:r>
              <w:rPr>
                <w:rFonts w:eastAsia="仿宋" w:hint="eastAsia"/>
                <w:sz w:val="22"/>
                <w:szCs w:val="22"/>
              </w:rPr>
              <w:t>、自用充电设施安装和使用不影响人防工程的平战转换。</w:t>
            </w:r>
          </w:p>
        </w:tc>
      </w:tr>
      <w:tr w:rsidR="00B74281" w14:paraId="27570C3F" w14:textId="77777777" w:rsidTr="00B74281">
        <w:trPr>
          <w:trHeight w:val="508"/>
        </w:trPr>
        <w:tc>
          <w:tcPr>
            <w:tcW w:w="743" w:type="dxa"/>
            <w:tcBorders>
              <w:top w:val="single" w:sz="4" w:space="0" w:color="auto"/>
              <w:bottom w:val="single" w:sz="4" w:space="0" w:color="auto"/>
            </w:tcBorders>
            <w:vAlign w:val="center"/>
          </w:tcPr>
          <w:p w14:paraId="646AFFFE" w14:textId="77777777" w:rsidR="00B74281" w:rsidRDefault="00B74281" w:rsidP="007F2A74">
            <w:pPr>
              <w:jc w:val="center"/>
              <w:rPr>
                <w:rFonts w:eastAsia="仿宋"/>
                <w:sz w:val="24"/>
              </w:rPr>
            </w:pPr>
            <w:r>
              <w:rPr>
                <w:rFonts w:eastAsia="仿宋" w:hint="eastAsia"/>
                <w:sz w:val="24"/>
              </w:rPr>
              <w:t>电力</w:t>
            </w:r>
          </w:p>
        </w:tc>
        <w:tc>
          <w:tcPr>
            <w:tcW w:w="9180" w:type="dxa"/>
            <w:tcBorders>
              <w:top w:val="single" w:sz="4" w:space="0" w:color="auto"/>
              <w:bottom w:val="single" w:sz="4" w:space="0" w:color="auto"/>
            </w:tcBorders>
            <w:vAlign w:val="center"/>
          </w:tcPr>
          <w:p w14:paraId="77EBACF4" w14:textId="77777777" w:rsidR="00B74281" w:rsidRDefault="00B74281" w:rsidP="007F2A74">
            <w:pPr>
              <w:rPr>
                <w:rFonts w:eastAsia="仿宋"/>
                <w:sz w:val="22"/>
                <w:szCs w:val="22"/>
              </w:rPr>
            </w:pPr>
            <w:r>
              <w:rPr>
                <w:rFonts w:eastAsia="仿宋" w:hint="eastAsia"/>
                <w:sz w:val="22"/>
                <w:szCs w:val="22"/>
              </w:rPr>
              <w:t>1</w:t>
            </w:r>
            <w:r>
              <w:rPr>
                <w:rFonts w:eastAsia="仿宋" w:hint="eastAsia"/>
                <w:sz w:val="22"/>
                <w:szCs w:val="22"/>
              </w:rPr>
              <w:t>、符合供电公司办理流程和要求。</w:t>
            </w:r>
          </w:p>
        </w:tc>
      </w:tr>
      <w:tr w:rsidR="00B74281" w14:paraId="17B0E01F" w14:textId="77777777" w:rsidTr="00B74281">
        <w:trPr>
          <w:trHeight w:val="4892"/>
        </w:trPr>
        <w:tc>
          <w:tcPr>
            <w:tcW w:w="743" w:type="dxa"/>
            <w:tcBorders>
              <w:top w:val="single" w:sz="4" w:space="0" w:color="auto"/>
              <w:bottom w:val="single" w:sz="4" w:space="0" w:color="auto"/>
            </w:tcBorders>
          </w:tcPr>
          <w:p w14:paraId="517D8D40" w14:textId="77777777" w:rsidR="00B74281" w:rsidRDefault="00B74281" w:rsidP="007F2A74">
            <w:pPr>
              <w:spacing w:line="560" w:lineRule="exact"/>
              <w:ind w:firstLineChars="200" w:firstLine="640"/>
              <w:jc w:val="center"/>
              <w:rPr>
                <w:rFonts w:eastAsia="仿宋"/>
                <w:sz w:val="32"/>
                <w:szCs w:val="32"/>
              </w:rPr>
            </w:pPr>
          </w:p>
          <w:p w14:paraId="58A0AB36" w14:textId="77777777" w:rsidR="00B74281" w:rsidRDefault="00B74281" w:rsidP="007F2A74">
            <w:pPr>
              <w:spacing w:line="520" w:lineRule="exact"/>
              <w:ind w:firstLineChars="1400" w:firstLine="4480"/>
              <w:jc w:val="center"/>
              <w:rPr>
                <w:rFonts w:eastAsia="仿宋"/>
                <w:sz w:val="32"/>
                <w:szCs w:val="32"/>
              </w:rPr>
            </w:pPr>
          </w:p>
          <w:p w14:paraId="26D52417" w14:textId="77777777" w:rsidR="00B74281" w:rsidRDefault="00B74281" w:rsidP="007F2A74">
            <w:pPr>
              <w:jc w:val="center"/>
              <w:rPr>
                <w:rFonts w:ascii="Calibri" w:hAnsi="Calibri"/>
                <w:szCs w:val="22"/>
              </w:rPr>
            </w:pPr>
          </w:p>
          <w:p w14:paraId="59D6484B" w14:textId="77777777" w:rsidR="00B74281" w:rsidRDefault="00B74281" w:rsidP="007F2A74">
            <w:pPr>
              <w:jc w:val="center"/>
              <w:rPr>
                <w:rFonts w:ascii="Calibri" w:hAnsi="Calibri"/>
                <w:szCs w:val="22"/>
              </w:rPr>
            </w:pPr>
          </w:p>
          <w:p w14:paraId="0CA03918" w14:textId="77777777" w:rsidR="00B74281" w:rsidRDefault="00B74281" w:rsidP="007F2A74">
            <w:pPr>
              <w:jc w:val="center"/>
              <w:rPr>
                <w:rFonts w:ascii="Calibri" w:hAnsi="Calibri"/>
                <w:szCs w:val="22"/>
              </w:rPr>
            </w:pPr>
          </w:p>
          <w:p w14:paraId="79BB0B02" w14:textId="77777777" w:rsidR="00B74281" w:rsidRDefault="00B74281" w:rsidP="007F2A74">
            <w:pPr>
              <w:jc w:val="center"/>
              <w:rPr>
                <w:rFonts w:ascii="Calibri" w:hAnsi="Calibri"/>
                <w:szCs w:val="22"/>
              </w:rPr>
            </w:pPr>
          </w:p>
          <w:p w14:paraId="17A23BE6" w14:textId="77777777" w:rsidR="00B74281" w:rsidRDefault="00B74281" w:rsidP="007F2A74">
            <w:pPr>
              <w:jc w:val="center"/>
              <w:rPr>
                <w:rFonts w:ascii="Calibri" w:hAnsi="Calibri"/>
                <w:szCs w:val="22"/>
              </w:rPr>
            </w:pPr>
            <w:r>
              <w:rPr>
                <w:rFonts w:eastAsia="仿宋" w:hint="eastAsia"/>
                <w:sz w:val="24"/>
              </w:rPr>
              <w:t>消防</w:t>
            </w:r>
          </w:p>
        </w:tc>
        <w:tc>
          <w:tcPr>
            <w:tcW w:w="9180" w:type="dxa"/>
            <w:tcBorders>
              <w:top w:val="single" w:sz="4" w:space="0" w:color="auto"/>
              <w:bottom w:val="single" w:sz="4" w:space="0" w:color="auto"/>
            </w:tcBorders>
          </w:tcPr>
          <w:p w14:paraId="45E096E2" w14:textId="77777777" w:rsidR="00B74281" w:rsidRDefault="00B74281" w:rsidP="007F2A74">
            <w:pPr>
              <w:rPr>
                <w:rFonts w:eastAsia="仿宋"/>
                <w:sz w:val="22"/>
                <w:szCs w:val="22"/>
              </w:rPr>
            </w:pPr>
            <w:r>
              <w:rPr>
                <w:rFonts w:eastAsia="仿宋" w:hint="eastAsia"/>
                <w:sz w:val="22"/>
                <w:szCs w:val="22"/>
              </w:rPr>
              <w:t>1</w:t>
            </w:r>
            <w:r>
              <w:rPr>
                <w:rFonts w:eastAsia="仿宋" w:hint="eastAsia"/>
                <w:sz w:val="22"/>
                <w:szCs w:val="22"/>
              </w:rPr>
              <w:t>、充电区域布置在地下汽车库内时，不布置在地下三层及以下。</w:t>
            </w:r>
          </w:p>
          <w:p w14:paraId="54093C02" w14:textId="77777777" w:rsidR="00B74281" w:rsidRDefault="00B74281" w:rsidP="007F2A74">
            <w:pPr>
              <w:rPr>
                <w:rFonts w:eastAsia="仿宋"/>
                <w:sz w:val="22"/>
                <w:szCs w:val="22"/>
              </w:rPr>
            </w:pPr>
            <w:r>
              <w:rPr>
                <w:rFonts w:eastAsia="仿宋" w:hint="eastAsia"/>
                <w:sz w:val="22"/>
                <w:szCs w:val="22"/>
              </w:rPr>
              <w:t>2</w:t>
            </w:r>
            <w:r>
              <w:rPr>
                <w:rFonts w:eastAsia="仿宋" w:hint="eastAsia"/>
                <w:sz w:val="22"/>
                <w:szCs w:val="22"/>
              </w:rPr>
              <w:t>、充电区域在同一防火分区应集中布置，与自动扶梯、电梯厅等竖向空间的水平距离应保持</w:t>
            </w:r>
            <w:r>
              <w:rPr>
                <w:rFonts w:eastAsia="仿宋" w:hint="eastAsia"/>
                <w:sz w:val="22"/>
                <w:szCs w:val="22"/>
              </w:rPr>
              <w:t>6m</w:t>
            </w:r>
            <w:r>
              <w:rPr>
                <w:rFonts w:eastAsia="仿宋" w:hint="eastAsia"/>
                <w:sz w:val="22"/>
                <w:szCs w:val="22"/>
              </w:rPr>
              <w:t>以上。</w:t>
            </w:r>
          </w:p>
          <w:p w14:paraId="015005C0" w14:textId="77777777" w:rsidR="00B74281" w:rsidRDefault="00B74281" w:rsidP="007F2A74">
            <w:pPr>
              <w:rPr>
                <w:rFonts w:eastAsia="仿宋"/>
                <w:sz w:val="22"/>
                <w:szCs w:val="22"/>
              </w:rPr>
            </w:pPr>
            <w:r>
              <w:rPr>
                <w:rFonts w:eastAsia="仿宋" w:hint="eastAsia"/>
                <w:sz w:val="22"/>
                <w:szCs w:val="22"/>
              </w:rPr>
              <w:t>3</w:t>
            </w:r>
            <w:r>
              <w:rPr>
                <w:rFonts w:eastAsia="仿宋" w:hint="eastAsia"/>
                <w:sz w:val="22"/>
                <w:szCs w:val="22"/>
              </w:rPr>
              <w:t>、充电区域不靠近锅炉房、可燃气体机房、变配电房、消防水泵房、应急发电机房等区域；分散充电设施不固定在上述房间的隔墙上。</w:t>
            </w:r>
          </w:p>
          <w:p w14:paraId="75F9553D" w14:textId="77777777" w:rsidR="00B74281" w:rsidRDefault="00B74281" w:rsidP="007F2A74">
            <w:pPr>
              <w:rPr>
                <w:rFonts w:eastAsia="仿宋"/>
                <w:sz w:val="22"/>
                <w:szCs w:val="22"/>
              </w:rPr>
            </w:pPr>
            <w:r>
              <w:rPr>
                <w:rFonts w:eastAsia="仿宋" w:hint="eastAsia"/>
                <w:sz w:val="22"/>
                <w:szCs w:val="22"/>
              </w:rPr>
              <w:t>4</w:t>
            </w:r>
            <w:r>
              <w:rPr>
                <w:rFonts w:eastAsia="仿宋" w:hint="eastAsia"/>
                <w:sz w:val="22"/>
                <w:szCs w:val="22"/>
              </w:rPr>
              <w:t>、每个防火单元应至少设置</w:t>
            </w:r>
            <w:r>
              <w:rPr>
                <w:rFonts w:eastAsia="仿宋" w:hint="eastAsia"/>
                <w:sz w:val="22"/>
                <w:szCs w:val="22"/>
              </w:rPr>
              <w:t>2</w:t>
            </w:r>
            <w:r>
              <w:rPr>
                <w:rFonts w:eastAsia="仿宋" w:hint="eastAsia"/>
                <w:sz w:val="22"/>
                <w:szCs w:val="22"/>
              </w:rPr>
              <w:t>个疏散出口，可利用设置在防火隔墙上的通往相邻防火单元的乙级防火门作为疏散出口，防火单元内两个疏散出口间的距离不小于</w:t>
            </w:r>
            <w:r>
              <w:rPr>
                <w:rFonts w:eastAsia="仿宋" w:hint="eastAsia"/>
                <w:sz w:val="22"/>
                <w:szCs w:val="22"/>
              </w:rPr>
              <w:t>5m</w:t>
            </w:r>
            <w:r>
              <w:rPr>
                <w:rFonts w:eastAsia="仿宋" w:hint="eastAsia"/>
                <w:sz w:val="22"/>
                <w:szCs w:val="22"/>
              </w:rPr>
              <w:t>。</w:t>
            </w:r>
          </w:p>
          <w:p w14:paraId="7947F1BB" w14:textId="77777777" w:rsidR="00B74281" w:rsidRDefault="00B74281" w:rsidP="007F2A74">
            <w:pPr>
              <w:rPr>
                <w:rFonts w:eastAsia="仿宋"/>
                <w:sz w:val="22"/>
                <w:szCs w:val="22"/>
              </w:rPr>
            </w:pPr>
            <w:r>
              <w:rPr>
                <w:rFonts w:eastAsia="仿宋" w:hint="eastAsia"/>
                <w:sz w:val="22"/>
                <w:szCs w:val="22"/>
              </w:rPr>
              <w:t>5</w:t>
            </w:r>
            <w:r>
              <w:rPr>
                <w:rFonts w:eastAsia="仿宋" w:hint="eastAsia"/>
                <w:sz w:val="22"/>
                <w:szCs w:val="22"/>
              </w:rPr>
              <w:t>、充电区域最远点至安全出口的实际通行距离不大于</w:t>
            </w:r>
            <w:r>
              <w:rPr>
                <w:rFonts w:eastAsia="仿宋" w:hint="eastAsia"/>
                <w:sz w:val="22"/>
                <w:szCs w:val="22"/>
              </w:rPr>
              <w:t>60m</w:t>
            </w:r>
            <w:r>
              <w:rPr>
                <w:rFonts w:eastAsia="仿宋" w:hint="eastAsia"/>
                <w:sz w:val="22"/>
                <w:szCs w:val="22"/>
              </w:rPr>
              <w:t>。</w:t>
            </w:r>
          </w:p>
          <w:p w14:paraId="58117FF4" w14:textId="77777777" w:rsidR="00B74281" w:rsidRDefault="00B74281" w:rsidP="007F2A74">
            <w:pPr>
              <w:rPr>
                <w:rFonts w:eastAsia="仿宋"/>
                <w:sz w:val="22"/>
                <w:szCs w:val="22"/>
              </w:rPr>
            </w:pPr>
            <w:r>
              <w:rPr>
                <w:rFonts w:eastAsia="仿宋" w:hint="eastAsia"/>
                <w:sz w:val="22"/>
                <w:szCs w:val="22"/>
              </w:rPr>
              <w:t>6</w:t>
            </w:r>
            <w:r>
              <w:rPr>
                <w:rFonts w:eastAsia="仿宋" w:hint="eastAsia"/>
                <w:sz w:val="22"/>
                <w:szCs w:val="22"/>
              </w:rPr>
              <w:t>、充电区域应设置完善的排水设施，不布置洗车等可能引起积水的功能用房。</w:t>
            </w:r>
          </w:p>
          <w:p w14:paraId="32669892" w14:textId="77777777" w:rsidR="00B74281" w:rsidRDefault="00B74281" w:rsidP="007F2A74">
            <w:pPr>
              <w:rPr>
                <w:rFonts w:eastAsia="仿宋"/>
                <w:sz w:val="22"/>
                <w:szCs w:val="22"/>
              </w:rPr>
            </w:pPr>
            <w:r>
              <w:rPr>
                <w:rFonts w:eastAsia="仿宋" w:hint="eastAsia"/>
                <w:sz w:val="22"/>
                <w:szCs w:val="22"/>
              </w:rPr>
              <w:t>7</w:t>
            </w:r>
            <w:r>
              <w:rPr>
                <w:rFonts w:eastAsia="仿宋" w:hint="eastAsia"/>
                <w:sz w:val="22"/>
                <w:szCs w:val="22"/>
              </w:rPr>
              <w:t>、居住建筑的地下汽车库不设置快充设施。</w:t>
            </w:r>
          </w:p>
          <w:p w14:paraId="24F7E638" w14:textId="77777777" w:rsidR="00B74281" w:rsidRDefault="00B74281" w:rsidP="007F2A74">
            <w:pPr>
              <w:rPr>
                <w:rFonts w:eastAsia="仿宋"/>
                <w:sz w:val="22"/>
                <w:szCs w:val="22"/>
              </w:rPr>
            </w:pPr>
            <w:r>
              <w:rPr>
                <w:rFonts w:eastAsia="仿宋" w:hint="eastAsia"/>
                <w:sz w:val="22"/>
                <w:szCs w:val="22"/>
              </w:rPr>
              <w:t>8</w:t>
            </w:r>
            <w:r>
              <w:rPr>
                <w:rFonts w:eastAsia="仿宋" w:hint="eastAsia"/>
                <w:sz w:val="22"/>
                <w:szCs w:val="22"/>
              </w:rPr>
              <w:t>、充电区域的自动喷水灭火系统应采用快速响应喷头，每个充电车位上方至少设置</w:t>
            </w:r>
            <w:r>
              <w:rPr>
                <w:rFonts w:eastAsia="仿宋" w:hint="eastAsia"/>
                <w:sz w:val="22"/>
                <w:szCs w:val="22"/>
              </w:rPr>
              <w:t>2</w:t>
            </w:r>
            <w:r>
              <w:rPr>
                <w:rFonts w:eastAsia="仿宋" w:hint="eastAsia"/>
                <w:sz w:val="22"/>
                <w:szCs w:val="22"/>
              </w:rPr>
              <w:t>个喷头。</w:t>
            </w:r>
          </w:p>
          <w:p w14:paraId="5547A944" w14:textId="77777777" w:rsidR="00B74281" w:rsidRDefault="00B74281" w:rsidP="007F2A74">
            <w:pPr>
              <w:rPr>
                <w:rFonts w:eastAsia="仿宋"/>
                <w:sz w:val="22"/>
                <w:szCs w:val="22"/>
              </w:rPr>
            </w:pPr>
            <w:r>
              <w:rPr>
                <w:rFonts w:eastAsia="仿宋" w:hint="eastAsia"/>
                <w:sz w:val="22"/>
                <w:szCs w:val="22"/>
              </w:rPr>
              <w:t>9</w:t>
            </w:r>
            <w:r>
              <w:rPr>
                <w:rFonts w:eastAsia="仿宋" w:hint="eastAsia"/>
                <w:sz w:val="22"/>
                <w:szCs w:val="22"/>
              </w:rPr>
              <w:t>、每个充电车位上方至少设置</w:t>
            </w:r>
            <w:r>
              <w:rPr>
                <w:rFonts w:eastAsia="仿宋" w:hint="eastAsia"/>
                <w:sz w:val="22"/>
                <w:szCs w:val="22"/>
              </w:rPr>
              <w:t>1</w:t>
            </w:r>
            <w:r>
              <w:rPr>
                <w:rFonts w:eastAsia="仿宋" w:hint="eastAsia"/>
                <w:sz w:val="22"/>
                <w:szCs w:val="22"/>
              </w:rPr>
              <w:t>只感烟探测器。</w:t>
            </w:r>
          </w:p>
          <w:p w14:paraId="39357503" w14:textId="77777777" w:rsidR="00B74281" w:rsidRDefault="00B74281" w:rsidP="007F2A74">
            <w:pPr>
              <w:rPr>
                <w:rFonts w:eastAsia="仿宋"/>
                <w:sz w:val="22"/>
                <w:szCs w:val="22"/>
              </w:rPr>
            </w:pPr>
            <w:r>
              <w:rPr>
                <w:rFonts w:eastAsia="仿宋" w:hint="eastAsia"/>
                <w:sz w:val="22"/>
                <w:szCs w:val="22"/>
              </w:rPr>
              <w:t>10</w:t>
            </w:r>
            <w:r>
              <w:rPr>
                <w:rFonts w:eastAsia="仿宋" w:hint="eastAsia"/>
                <w:sz w:val="22"/>
                <w:szCs w:val="22"/>
              </w:rPr>
              <w:t>、充电区域的灭火器应按严重危险等级配置，且至少增配</w:t>
            </w:r>
            <w:r>
              <w:rPr>
                <w:rFonts w:eastAsia="仿宋" w:hint="eastAsia"/>
                <w:sz w:val="22"/>
                <w:szCs w:val="22"/>
              </w:rPr>
              <w:t>1</w:t>
            </w:r>
            <w:r>
              <w:rPr>
                <w:rFonts w:eastAsia="仿宋" w:hint="eastAsia"/>
                <w:sz w:val="22"/>
                <w:szCs w:val="22"/>
              </w:rPr>
              <w:t>具不小于</w:t>
            </w:r>
            <w:r>
              <w:rPr>
                <w:rFonts w:eastAsia="仿宋" w:hint="eastAsia"/>
                <w:sz w:val="22"/>
                <w:szCs w:val="22"/>
              </w:rPr>
              <w:t>60L</w:t>
            </w:r>
            <w:r>
              <w:rPr>
                <w:rFonts w:eastAsia="仿宋" w:hint="eastAsia"/>
                <w:sz w:val="22"/>
                <w:szCs w:val="22"/>
              </w:rPr>
              <w:t>的推车式水基型灭火器或推车式泡沫灭火器，最大保护距离不大于</w:t>
            </w:r>
            <w:r>
              <w:rPr>
                <w:rFonts w:eastAsia="仿宋" w:hint="eastAsia"/>
                <w:sz w:val="22"/>
                <w:szCs w:val="22"/>
              </w:rPr>
              <w:t>30m</w:t>
            </w:r>
            <w:r>
              <w:rPr>
                <w:rFonts w:eastAsia="仿宋" w:hint="eastAsia"/>
                <w:sz w:val="22"/>
                <w:szCs w:val="22"/>
              </w:rPr>
              <w:t>。</w:t>
            </w:r>
          </w:p>
          <w:p w14:paraId="52D6CFBA" w14:textId="77777777" w:rsidR="00B74281" w:rsidRDefault="00B74281" w:rsidP="007F2A74">
            <w:pPr>
              <w:rPr>
                <w:rFonts w:eastAsia="仿宋"/>
                <w:sz w:val="22"/>
                <w:szCs w:val="22"/>
              </w:rPr>
            </w:pPr>
            <w:r>
              <w:rPr>
                <w:rFonts w:eastAsia="仿宋" w:hint="eastAsia"/>
                <w:sz w:val="22"/>
                <w:szCs w:val="22"/>
              </w:rPr>
              <w:t>11</w:t>
            </w:r>
            <w:r>
              <w:rPr>
                <w:rFonts w:eastAsia="仿宋" w:hint="eastAsia"/>
                <w:sz w:val="22"/>
                <w:szCs w:val="22"/>
              </w:rPr>
              <w:t>、充电区域设置视频监控设施，并处于视频监控范围内，视频监控系统设置于消防控制室或</w:t>
            </w:r>
            <w:r>
              <w:rPr>
                <w:rFonts w:eastAsia="仿宋" w:hint="eastAsia"/>
                <w:sz w:val="22"/>
                <w:szCs w:val="22"/>
              </w:rPr>
              <w:t>24h</w:t>
            </w:r>
            <w:r>
              <w:rPr>
                <w:rFonts w:eastAsia="仿宋" w:hint="eastAsia"/>
                <w:sz w:val="22"/>
                <w:szCs w:val="22"/>
              </w:rPr>
              <w:t>专人值班的场所内。</w:t>
            </w:r>
          </w:p>
          <w:p w14:paraId="15EBF208" w14:textId="77777777" w:rsidR="00B74281" w:rsidRDefault="00B74281" w:rsidP="007F2A74">
            <w:pPr>
              <w:rPr>
                <w:rFonts w:eastAsia="仿宋"/>
                <w:sz w:val="22"/>
                <w:szCs w:val="22"/>
              </w:rPr>
            </w:pPr>
            <w:r>
              <w:rPr>
                <w:rFonts w:eastAsia="仿宋" w:hint="eastAsia"/>
                <w:sz w:val="22"/>
                <w:szCs w:val="22"/>
              </w:rPr>
              <w:t>12</w:t>
            </w:r>
            <w:r>
              <w:rPr>
                <w:rFonts w:eastAsia="仿宋" w:hint="eastAsia"/>
                <w:sz w:val="22"/>
                <w:szCs w:val="22"/>
              </w:rPr>
              <w:t>、该人防工程距离本次申请安装自用充电设施时间不超过一年的有效合</w:t>
            </w:r>
            <w:proofErr w:type="gramStart"/>
            <w:r>
              <w:rPr>
                <w:rFonts w:eastAsia="仿宋" w:hint="eastAsia"/>
                <w:sz w:val="22"/>
                <w:szCs w:val="22"/>
              </w:rPr>
              <w:t>规</w:t>
            </w:r>
            <w:proofErr w:type="gramEnd"/>
            <w:r>
              <w:rPr>
                <w:rFonts w:eastAsia="仿宋" w:hint="eastAsia"/>
                <w:sz w:val="22"/>
                <w:szCs w:val="22"/>
              </w:rPr>
              <w:t>的《建筑消防设施检测报告》。</w:t>
            </w:r>
          </w:p>
        </w:tc>
      </w:tr>
      <w:tr w:rsidR="00B74281" w14:paraId="7BDA241F" w14:textId="77777777" w:rsidTr="00B74281">
        <w:trPr>
          <w:trHeight w:val="558"/>
        </w:trPr>
        <w:tc>
          <w:tcPr>
            <w:tcW w:w="9923" w:type="dxa"/>
            <w:gridSpan w:val="2"/>
            <w:tcBorders>
              <w:top w:val="single" w:sz="4" w:space="0" w:color="auto"/>
              <w:bottom w:val="single" w:sz="4" w:space="0" w:color="auto"/>
            </w:tcBorders>
          </w:tcPr>
          <w:p w14:paraId="7792B61D" w14:textId="0E11F0CE" w:rsidR="00B74281" w:rsidRPr="007E02BD" w:rsidRDefault="00B74281" w:rsidP="007F2A74">
            <w:pPr>
              <w:spacing w:line="400" w:lineRule="exact"/>
              <w:ind w:firstLineChars="200" w:firstLine="420"/>
              <w:rPr>
                <w:rFonts w:ascii="方正小标宋_GBK" w:eastAsia="方正小标宋_GBK" w:hAnsi="方正小标宋_GBK" w:cs="方正小标宋_GBK"/>
                <w:szCs w:val="21"/>
              </w:rPr>
            </w:pPr>
            <w:bookmarkStart w:id="2" w:name="_Hlk204762398"/>
            <w:r w:rsidRPr="007E02BD">
              <w:rPr>
                <w:rFonts w:ascii="方正小标宋_GBK" w:eastAsia="方正小标宋_GBK" w:hAnsi="方正小标宋_GBK" w:cs="方正小标宋_GBK" w:hint="eastAsia"/>
                <w:szCs w:val="21"/>
              </w:rPr>
              <w:t>本单位承诺该《南通市居民区人防工程电动汽车自用充电设施建设安装承诺表》里的所有信息均真实、合法、有效，</w:t>
            </w:r>
            <w:r w:rsidR="007E02BD" w:rsidRPr="007E02BD">
              <w:rPr>
                <w:rFonts w:ascii="方正小标宋_GBK" w:eastAsia="方正小标宋_GBK" w:hAnsi="方正小标宋_GBK" w:cs="方正小标宋_GBK" w:hint="eastAsia"/>
                <w:szCs w:val="21"/>
              </w:rPr>
              <w:t>本</w:t>
            </w:r>
            <w:r w:rsidR="007E02BD" w:rsidRPr="007E02BD">
              <w:rPr>
                <w:rFonts w:ascii="方正小标宋_GBK" w:eastAsia="方正小标宋_GBK" w:hAnsi="方正小标宋_GBK" w:cs="方正小标宋_GBK" w:hint="eastAsia"/>
                <w:szCs w:val="21"/>
              </w:rPr>
              <w:t>单位知晓并同意，若我单位出现违反承诺内容的行为，愿意承担相应的违诺后果。行业主管部门将在南通市信用承诺管理系统内录入违诺行为信息，相关违诺信息计入承诺主体信用档案。</w:t>
            </w:r>
            <w:r w:rsidR="007E02BD" w:rsidRPr="007E02BD">
              <w:rPr>
                <w:rFonts w:ascii="方正小标宋_GBK" w:eastAsia="方正小标宋_GBK" w:hAnsi="方正小标宋_GBK" w:cs="方正小标宋_GBK" w:hint="eastAsia"/>
                <w:szCs w:val="21"/>
              </w:rPr>
              <w:t>本</w:t>
            </w:r>
            <w:r w:rsidR="007E02BD" w:rsidRPr="007E02BD">
              <w:rPr>
                <w:rFonts w:ascii="方正小标宋_GBK" w:eastAsia="方正小标宋_GBK" w:hAnsi="方正小标宋_GBK" w:cs="方正小标宋_GBK" w:hint="eastAsia"/>
                <w:szCs w:val="21"/>
              </w:rPr>
              <w:t>单位同意承诺书向社会公开，通过“信用南通”网站等对外公示，接受社会监督。</w:t>
            </w:r>
            <w:bookmarkEnd w:id="2"/>
          </w:p>
          <w:p w14:paraId="526160DC" w14:textId="77777777" w:rsidR="00B74281" w:rsidRDefault="00B74281" w:rsidP="007F2A74">
            <w:pPr>
              <w:rPr>
                <w:rFonts w:eastAsia="仿宋"/>
                <w:sz w:val="24"/>
              </w:rPr>
            </w:pPr>
          </w:p>
          <w:p w14:paraId="7CCDA82B" w14:textId="77777777" w:rsidR="00B74281" w:rsidRDefault="00B74281" w:rsidP="007F2A74">
            <w:pPr>
              <w:rPr>
                <w:rFonts w:eastAsia="仿宋"/>
                <w:sz w:val="24"/>
              </w:rPr>
            </w:pPr>
            <w:r>
              <w:rPr>
                <w:rFonts w:eastAsia="仿宋" w:hint="eastAsia"/>
                <w:sz w:val="24"/>
              </w:rPr>
              <w:t xml:space="preserve">       </w:t>
            </w:r>
            <w:r>
              <w:rPr>
                <w:rFonts w:eastAsia="仿宋"/>
                <w:sz w:val="24"/>
              </w:rPr>
              <w:t xml:space="preserve">                                   </w:t>
            </w:r>
            <w:r>
              <w:rPr>
                <w:rFonts w:eastAsia="仿宋" w:hint="eastAsia"/>
                <w:sz w:val="24"/>
              </w:rPr>
              <w:t xml:space="preserve">           </w:t>
            </w:r>
            <w:r>
              <w:rPr>
                <w:rFonts w:eastAsia="仿宋" w:hint="eastAsia"/>
                <w:sz w:val="24"/>
              </w:rPr>
              <w:t>承诺单位：</w:t>
            </w:r>
            <w:r>
              <w:rPr>
                <w:rFonts w:eastAsia="仿宋"/>
                <w:sz w:val="24"/>
              </w:rPr>
              <w:t>（</w:t>
            </w:r>
            <w:r>
              <w:rPr>
                <w:rFonts w:eastAsia="仿宋" w:hint="eastAsia"/>
                <w:sz w:val="24"/>
              </w:rPr>
              <w:t>使用管理单位公章</w:t>
            </w:r>
            <w:r>
              <w:rPr>
                <w:rFonts w:eastAsia="仿宋"/>
                <w:sz w:val="24"/>
              </w:rPr>
              <w:t>）</w:t>
            </w:r>
          </w:p>
          <w:p w14:paraId="5689C9A2" w14:textId="77777777" w:rsidR="00B74281" w:rsidRDefault="00B74281" w:rsidP="007F2A74">
            <w:pPr>
              <w:rPr>
                <w:rFonts w:eastAsia="仿宋"/>
                <w:sz w:val="24"/>
              </w:rPr>
            </w:pPr>
            <w:r>
              <w:rPr>
                <w:rFonts w:eastAsia="仿宋" w:hint="eastAsia"/>
                <w:sz w:val="24"/>
              </w:rPr>
              <w:t xml:space="preserve">                                                             </w:t>
            </w:r>
            <w:r>
              <w:rPr>
                <w:rFonts w:eastAsia="仿宋" w:hint="eastAsia"/>
                <w:sz w:val="24"/>
              </w:rPr>
              <w:t>年</w:t>
            </w:r>
            <w:r>
              <w:rPr>
                <w:rFonts w:eastAsia="仿宋" w:hint="eastAsia"/>
                <w:sz w:val="24"/>
              </w:rPr>
              <w:t xml:space="preserve">    </w:t>
            </w:r>
            <w:r>
              <w:rPr>
                <w:rFonts w:eastAsia="仿宋" w:hint="eastAsia"/>
                <w:sz w:val="24"/>
              </w:rPr>
              <w:t>月</w:t>
            </w:r>
            <w:r>
              <w:rPr>
                <w:rFonts w:eastAsia="仿宋" w:hint="eastAsia"/>
                <w:sz w:val="24"/>
              </w:rPr>
              <w:t xml:space="preserve">     </w:t>
            </w:r>
            <w:r>
              <w:rPr>
                <w:rFonts w:eastAsia="仿宋" w:hint="eastAsia"/>
                <w:sz w:val="24"/>
              </w:rPr>
              <w:t>日</w:t>
            </w:r>
          </w:p>
          <w:p w14:paraId="78B96810" w14:textId="6E127E72" w:rsidR="00B74281" w:rsidRDefault="00B74281" w:rsidP="007F2A74">
            <w:pPr>
              <w:rPr>
                <w:rFonts w:eastAsia="仿宋"/>
                <w:sz w:val="22"/>
                <w:szCs w:val="22"/>
              </w:rPr>
            </w:pPr>
          </w:p>
        </w:tc>
      </w:tr>
    </w:tbl>
    <w:p w14:paraId="2AF38C15" w14:textId="77777777" w:rsidR="00C65D30" w:rsidRDefault="00C65D30" w:rsidP="00746052"/>
    <w:sectPr w:rsidR="00C65D30">
      <w:pgSz w:w="11906" w:h="16838"/>
      <w:pgMar w:top="851" w:right="1474" w:bottom="851"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0EB2" w14:textId="77777777" w:rsidR="00015D2C" w:rsidRDefault="00015D2C" w:rsidP="00820398">
      <w:r>
        <w:separator/>
      </w:r>
    </w:p>
  </w:endnote>
  <w:endnote w:type="continuationSeparator" w:id="0">
    <w:p w14:paraId="2B658F1E" w14:textId="77777777" w:rsidR="00015D2C" w:rsidRDefault="00015D2C" w:rsidP="0082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3319" w14:textId="77777777" w:rsidR="00015D2C" w:rsidRDefault="00015D2C" w:rsidP="00820398">
      <w:r>
        <w:separator/>
      </w:r>
    </w:p>
  </w:footnote>
  <w:footnote w:type="continuationSeparator" w:id="0">
    <w:p w14:paraId="3F077BC6" w14:textId="77777777" w:rsidR="00015D2C" w:rsidRDefault="00015D2C" w:rsidP="0082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530"/>
    <w:multiLevelType w:val="multilevel"/>
    <w:tmpl w:val="0C8D2530"/>
    <w:lvl w:ilvl="0">
      <w:start w:val="1"/>
      <w:numFmt w:val="japaneseCounting"/>
      <w:lvlText w:val="%1、"/>
      <w:lvlJc w:val="left"/>
      <w:pPr>
        <w:ind w:left="1287"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15:restartNumberingAfterBreak="0">
    <w:nsid w:val="2E466EE1"/>
    <w:multiLevelType w:val="multilevel"/>
    <w:tmpl w:val="2E466EE1"/>
    <w:lvl w:ilvl="0">
      <w:start w:val="1"/>
      <w:numFmt w:val="japaneseCounting"/>
      <w:lvlText w:val="（%1）"/>
      <w:lvlJc w:val="left"/>
      <w:pPr>
        <w:ind w:left="2010" w:hanging="1080"/>
      </w:pPr>
      <w:rPr>
        <w:rFonts w:hint="default"/>
      </w:rPr>
    </w:lvl>
    <w:lvl w:ilvl="1">
      <w:start w:val="1"/>
      <w:numFmt w:val="lowerLetter"/>
      <w:lvlText w:val="%2)"/>
      <w:lvlJc w:val="left"/>
      <w:pPr>
        <w:ind w:left="1770" w:hanging="420"/>
      </w:pPr>
    </w:lvl>
    <w:lvl w:ilvl="2">
      <w:start w:val="1"/>
      <w:numFmt w:val="lowerRoman"/>
      <w:lvlText w:val="%3."/>
      <w:lvlJc w:val="right"/>
      <w:pPr>
        <w:ind w:left="2190" w:hanging="420"/>
      </w:pPr>
    </w:lvl>
    <w:lvl w:ilvl="3">
      <w:start w:val="1"/>
      <w:numFmt w:val="decimal"/>
      <w:lvlText w:val="%4."/>
      <w:lvlJc w:val="left"/>
      <w:pPr>
        <w:ind w:left="2610" w:hanging="420"/>
      </w:pPr>
    </w:lvl>
    <w:lvl w:ilvl="4">
      <w:start w:val="1"/>
      <w:numFmt w:val="lowerLetter"/>
      <w:lvlText w:val="%5)"/>
      <w:lvlJc w:val="left"/>
      <w:pPr>
        <w:ind w:left="3030" w:hanging="420"/>
      </w:pPr>
    </w:lvl>
    <w:lvl w:ilvl="5">
      <w:start w:val="1"/>
      <w:numFmt w:val="lowerRoman"/>
      <w:lvlText w:val="%6."/>
      <w:lvlJc w:val="right"/>
      <w:pPr>
        <w:ind w:left="3450" w:hanging="420"/>
      </w:pPr>
    </w:lvl>
    <w:lvl w:ilvl="6">
      <w:start w:val="1"/>
      <w:numFmt w:val="decimal"/>
      <w:lvlText w:val="%7."/>
      <w:lvlJc w:val="left"/>
      <w:pPr>
        <w:ind w:left="3870" w:hanging="420"/>
      </w:pPr>
    </w:lvl>
    <w:lvl w:ilvl="7">
      <w:start w:val="1"/>
      <w:numFmt w:val="lowerLetter"/>
      <w:lvlText w:val="%8)"/>
      <w:lvlJc w:val="left"/>
      <w:pPr>
        <w:ind w:left="4290" w:hanging="420"/>
      </w:pPr>
    </w:lvl>
    <w:lvl w:ilvl="8">
      <w:start w:val="1"/>
      <w:numFmt w:val="lowerRoman"/>
      <w:lvlText w:val="%9."/>
      <w:lvlJc w:val="right"/>
      <w:pPr>
        <w:ind w:left="4710" w:hanging="420"/>
      </w:pPr>
    </w:lvl>
  </w:abstractNum>
  <w:abstractNum w:abstractNumId="2" w15:restartNumberingAfterBreak="0">
    <w:nsid w:val="7476344A"/>
    <w:multiLevelType w:val="multilevel"/>
    <w:tmpl w:val="7476344A"/>
    <w:lvl w:ilvl="0">
      <w:start w:val="1"/>
      <w:numFmt w:val="japaneseCounting"/>
      <w:lvlText w:val="（%1）"/>
      <w:lvlJc w:val="left"/>
      <w:pPr>
        <w:ind w:left="2430" w:hanging="1080"/>
      </w:pPr>
      <w:rPr>
        <w:rFonts w:hint="default"/>
      </w:rPr>
    </w:lvl>
    <w:lvl w:ilvl="1">
      <w:start w:val="1"/>
      <w:numFmt w:val="lowerLetter"/>
      <w:lvlText w:val="%2)"/>
      <w:lvlJc w:val="left"/>
      <w:pPr>
        <w:ind w:left="2190" w:hanging="420"/>
      </w:pPr>
    </w:lvl>
    <w:lvl w:ilvl="2">
      <w:start w:val="1"/>
      <w:numFmt w:val="lowerRoman"/>
      <w:lvlText w:val="%3."/>
      <w:lvlJc w:val="right"/>
      <w:pPr>
        <w:ind w:left="2610" w:hanging="420"/>
      </w:pPr>
    </w:lvl>
    <w:lvl w:ilvl="3">
      <w:start w:val="1"/>
      <w:numFmt w:val="decimal"/>
      <w:lvlText w:val="%4."/>
      <w:lvlJc w:val="left"/>
      <w:pPr>
        <w:ind w:left="3030" w:hanging="420"/>
      </w:pPr>
    </w:lvl>
    <w:lvl w:ilvl="4">
      <w:start w:val="1"/>
      <w:numFmt w:val="lowerLetter"/>
      <w:lvlText w:val="%5)"/>
      <w:lvlJc w:val="left"/>
      <w:pPr>
        <w:ind w:left="3450" w:hanging="420"/>
      </w:pPr>
    </w:lvl>
    <w:lvl w:ilvl="5">
      <w:start w:val="1"/>
      <w:numFmt w:val="lowerRoman"/>
      <w:lvlText w:val="%6."/>
      <w:lvlJc w:val="right"/>
      <w:pPr>
        <w:ind w:left="3870" w:hanging="420"/>
      </w:pPr>
    </w:lvl>
    <w:lvl w:ilvl="6">
      <w:start w:val="1"/>
      <w:numFmt w:val="decimal"/>
      <w:lvlText w:val="%7."/>
      <w:lvlJc w:val="left"/>
      <w:pPr>
        <w:ind w:left="4290" w:hanging="420"/>
      </w:pPr>
    </w:lvl>
    <w:lvl w:ilvl="7">
      <w:start w:val="1"/>
      <w:numFmt w:val="lowerLetter"/>
      <w:lvlText w:val="%8)"/>
      <w:lvlJc w:val="left"/>
      <w:pPr>
        <w:ind w:left="4710" w:hanging="420"/>
      </w:pPr>
    </w:lvl>
    <w:lvl w:ilvl="8">
      <w:start w:val="1"/>
      <w:numFmt w:val="lowerRoman"/>
      <w:lvlText w:val="%9."/>
      <w:lvlJc w:val="right"/>
      <w:pPr>
        <w:ind w:left="51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234"/>
    <w:rsid w:val="00015D2C"/>
    <w:rsid w:val="000C3A18"/>
    <w:rsid w:val="000E4513"/>
    <w:rsid w:val="00131DC4"/>
    <w:rsid w:val="00150294"/>
    <w:rsid w:val="001706CB"/>
    <w:rsid w:val="002401C2"/>
    <w:rsid w:val="002D3FD6"/>
    <w:rsid w:val="002D68EA"/>
    <w:rsid w:val="002E6DC9"/>
    <w:rsid w:val="00322127"/>
    <w:rsid w:val="0034656E"/>
    <w:rsid w:val="00355234"/>
    <w:rsid w:val="003A0DCA"/>
    <w:rsid w:val="003E6118"/>
    <w:rsid w:val="003F5FA3"/>
    <w:rsid w:val="004A1D11"/>
    <w:rsid w:val="004D0DA2"/>
    <w:rsid w:val="0059126F"/>
    <w:rsid w:val="005F15AB"/>
    <w:rsid w:val="00625318"/>
    <w:rsid w:val="00670E32"/>
    <w:rsid w:val="006A65A0"/>
    <w:rsid w:val="006D3E64"/>
    <w:rsid w:val="00746052"/>
    <w:rsid w:val="00794CF8"/>
    <w:rsid w:val="007A6EE7"/>
    <w:rsid w:val="007C427D"/>
    <w:rsid w:val="007C48CC"/>
    <w:rsid w:val="007E02BD"/>
    <w:rsid w:val="00820398"/>
    <w:rsid w:val="008836F4"/>
    <w:rsid w:val="009059D6"/>
    <w:rsid w:val="00920B35"/>
    <w:rsid w:val="00922A4F"/>
    <w:rsid w:val="0095433B"/>
    <w:rsid w:val="00993278"/>
    <w:rsid w:val="0099470C"/>
    <w:rsid w:val="009A1412"/>
    <w:rsid w:val="009E746C"/>
    <w:rsid w:val="00AD370F"/>
    <w:rsid w:val="00AE20FA"/>
    <w:rsid w:val="00B629AC"/>
    <w:rsid w:val="00B63494"/>
    <w:rsid w:val="00B74281"/>
    <w:rsid w:val="00B758F0"/>
    <w:rsid w:val="00BD2E55"/>
    <w:rsid w:val="00C108D9"/>
    <w:rsid w:val="00C65D30"/>
    <w:rsid w:val="00CA0F11"/>
    <w:rsid w:val="00CC2BF5"/>
    <w:rsid w:val="00CC60FE"/>
    <w:rsid w:val="00CE19B0"/>
    <w:rsid w:val="00CE66B4"/>
    <w:rsid w:val="00D418E6"/>
    <w:rsid w:val="00E13FC7"/>
    <w:rsid w:val="00E7601B"/>
    <w:rsid w:val="00EE6D7B"/>
    <w:rsid w:val="00EF45D6"/>
    <w:rsid w:val="00F44E8C"/>
    <w:rsid w:val="00F543CB"/>
    <w:rsid w:val="00F70E60"/>
    <w:rsid w:val="01E22FD4"/>
    <w:rsid w:val="025257D7"/>
    <w:rsid w:val="039A1D5A"/>
    <w:rsid w:val="05410247"/>
    <w:rsid w:val="063B7670"/>
    <w:rsid w:val="06446E8C"/>
    <w:rsid w:val="0AF947F0"/>
    <w:rsid w:val="0BD55A6F"/>
    <w:rsid w:val="0DFA56BD"/>
    <w:rsid w:val="11A76286"/>
    <w:rsid w:val="14B122DC"/>
    <w:rsid w:val="1AA0623D"/>
    <w:rsid w:val="1CAE1B5E"/>
    <w:rsid w:val="1D433F5F"/>
    <w:rsid w:val="1D7A76A7"/>
    <w:rsid w:val="1F2343AD"/>
    <w:rsid w:val="2B163097"/>
    <w:rsid w:val="2C6C4252"/>
    <w:rsid w:val="2D6E7DF3"/>
    <w:rsid w:val="2E5A7505"/>
    <w:rsid w:val="2FB6476E"/>
    <w:rsid w:val="302C58D8"/>
    <w:rsid w:val="33101D4A"/>
    <w:rsid w:val="340874CE"/>
    <w:rsid w:val="36B7410B"/>
    <w:rsid w:val="379861C9"/>
    <w:rsid w:val="3A5D2F72"/>
    <w:rsid w:val="3C892E50"/>
    <w:rsid w:val="3EFE3D90"/>
    <w:rsid w:val="40B25CC9"/>
    <w:rsid w:val="4388068B"/>
    <w:rsid w:val="4BE16F80"/>
    <w:rsid w:val="4C541647"/>
    <w:rsid w:val="4E781387"/>
    <w:rsid w:val="4F660BEE"/>
    <w:rsid w:val="529A72B8"/>
    <w:rsid w:val="53166842"/>
    <w:rsid w:val="56AC27E8"/>
    <w:rsid w:val="59EE6AE4"/>
    <w:rsid w:val="5B4F44C5"/>
    <w:rsid w:val="5ED44742"/>
    <w:rsid w:val="60D92199"/>
    <w:rsid w:val="619568CD"/>
    <w:rsid w:val="62DF7F4A"/>
    <w:rsid w:val="69F16B41"/>
    <w:rsid w:val="6AC87225"/>
    <w:rsid w:val="6D64047F"/>
    <w:rsid w:val="6DEA4F68"/>
    <w:rsid w:val="70437138"/>
    <w:rsid w:val="730F4EF2"/>
    <w:rsid w:val="75BA1D3A"/>
    <w:rsid w:val="76302CD4"/>
    <w:rsid w:val="77A03FC2"/>
    <w:rsid w:val="78970661"/>
    <w:rsid w:val="78CE55DC"/>
    <w:rsid w:val="797C251E"/>
    <w:rsid w:val="7AF610E6"/>
    <w:rsid w:val="7DE536E9"/>
    <w:rsid w:val="7EF054DA"/>
    <w:rsid w:val="7F2233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AA9D0"/>
  <w15:docId w15:val="{BE0D3F08-C0A4-4EE0-B12B-9767E3BA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semiHidden="1" w:uiPriority="99" w:unhideWhenUsed="1" w:qFormat="1"/>
    <w:lsdException w:name="Subtitle" w:qFormat="1"/>
    <w:lsdException w:name="Body Text First Indent 2"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wordWrap w:val="0"/>
      <w:ind w:left="3400"/>
    </w:pPr>
  </w:style>
  <w:style w:type="paragraph" w:styleId="a4">
    <w:name w:val="Body Text"/>
    <w:basedOn w:val="a"/>
    <w:qFormat/>
    <w:pPr>
      <w:pBdr>
        <w:top w:val="single" w:sz="6" w:space="1" w:color="auto"/>
        <w:bottom w:val="single" w:sz="6" w:space="1" w:color="auto"/>
      </w:pBdr>
    </w:pPr>
    <w:rPr>
      <w:rFonts w:ascii="仿宋_GB2312"/>
    </w:rPr>
  </w:style>
  <w:style w:type="paragraph" w:styleId="a5">
    <w:name w:val="Body Text Indent"/>
    <w:basedOn w:val="a"/>
    <w:uiPriority w:val="99"/>
    <w:semiHidden/>
    <w:unhideWhenUsed/>
    <w:qFormat/>
    <w:pPr>
      <w:spacing w:after="120"/>
      <w:ind w:leftChars="200" w:left="420"/>
    </w:p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uiPriority w:val="99"/>
    <w:unhideWhenUsed/>
    <w:qFormat/>
    <w:pPr>
      <w:ind w:firstLineChars="200" w:firstLine="420"/>
    </w:p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qFormat/>
    <w:rPr>
      <w:color w:val="0563C1" w:themeColor="hyperlink"/>
      <w:u w:val="single"/>
    </w:rPr>
  </w:style>
  <w:style w:type="paragraph" w:styleId="ac">
    <w:name w:val="No Spacing"/>
    <w:uiPriority w:val="1"/>
    <w:qFormat/>
    <w:pPr>
      <w:widowControl w:val="0"/>
      <w:jc w:val="both"/>
    </w:pPr>
    <w:rPr>
      <w:rFonts w:ascii="Calibri" w:hAnsi="Calibri"/>
      <w:kern w:val="2"/>
      <w:sz w:val="21"/>
      <w:szCs w:val="22"/>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qFormat/>
    <w:rPr>
      <w:rFonts w:asciiTheme="minorHAnsi" w:eastAsiaTheme="minorEastAsia" w:hAnsiTheme="minorHAnsi" w:cstheme="minorBidi"/>
      <w:kern w:val="2"/>
      <w:sz w:val="18"/>
      <w:szCs w:val="18"/>
    </w:rPr>
  </w:style>
  <w:style w:type="paragraph" w:customStyle="1" w:styleId="ad">
    <w:name w:val="线型"/>
    <w:basedOn w:val="a"/>
    <w:qFormat/>
    <w:pPr>
      <w:autoSpaceDE w:val="0"/>
      <w:autoSpaceDN w:val="0"/>
      <w:adjustRightInd w:val="0"/>
      <w:ind w:right="357"/>
      <w:jc w:val="center"/>
    </w:pPr>
    <w:rPr>
      <w:rFonts w:eastAsia="方正仿宋_GBK"/>
      <w:snapToGrid w:val="0"/>
      <w:kern w:val="0"/>
      <w:szCs w:val="20"/>
    </w:rPr>
  </w:style>
  <w:style w:type="paragraph" w:styleId="ae">
    <w:name w:val="List Paragraph"/>
    <w:basedOn w:val="a"/>
    <w:uiPriority w:val="34"/>
    <w:qFormat/>
    <w:rsid w:val="00670E32"/>
    <w:pPr>
      <w:ind w:firstLineChars="200" w:firstLine="420"/>
    </w:pPr>
  </w:style>
  <w:style w:type="table" w:customStyle="1" w:styleId="1">
    <w:name w:val="网格型1"/>
    <w:basedOn w:val="a1"/>
    <w:uiPriority w:val="59"/>
    <w:qFormat/>
    <w:rsid w:val="00B742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211</Words>
  <Characters>1203</Characters>
  <Application>Microsoft Office Word</Application>
  <DocSecurity>0</DocSecurity>
  <Lines>10</Lines>
  <Paragraphs>2</Paragraphs>
  <ScaleCrop>false</ScaleCrop>
  <Company>china</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shenlingjia</cp:lastModifiedBy>
  <cp:revision>24</cp:revision>
  <cp:lastPrinted>2025-07-30T01:58:00Z</cp:lastPrinted>
  <dcterms:created xsi:type="dcterms:W3CDTF">2025-06-18T01:21:00Z</dcterms:created>
  <dcterms:modified xsi:type="dcterms:W3CDTF">2025-07-30T02:07:00Z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eyJoZGlkIjoiYzE4ZDk5YzE0OTJkMDM4ODQ5MzZhOTEzNTNhOGE3ZmYiLCJ1c2VySWQiOiIxNzAxMzY5NDIxIn0=</vt:lpwstr>
  </property>
  <property fmtid="{D5CDD505-2E9C-101B-9397-08002B2CF9AE}" pid="4" name="ICV">
    <vt:lpwstr>2571C202D74C431F8F018781753FCFE7_13</vt:lpwstr>
  </property>
</Properties>
</file>